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15" w:rsidRPr="00680120" w:rsidRDefault="00DB0D15" w:rsidP="00680120">
      <w:pPr>
        <w:spacing w:after="120"/>
        <w:jc w:val="center"/>
        <w:rPr>
          <w:b/>
          <w:i/>
          <w:caps/>
          <w:color w:val="4F81BD" w:themeColor="accent1"/>
          <w:sz w:val="40"/>
        </w:rPr>
      </w:pPr>
      <w:r w:rsidRPr="00680120">
        <w:rPr>
          <w:b/>
          <w:i/>
          <w:caps/>
          <w:color w:val="4F81BD" w:themeColor="accent1"/>
          <w:sz w:val="40"/>
        </w:rPr>
        <w:t>Программ</w:t>
      </w:r>
      <w:r w:rsidR="00680120" w:rsidRPr="00680120">
        <w:rPr>
          <w:b/>
          <w:i/>
          <w:caps/>
          <w:color w:val="4F81BD" w:themeColor="accent1"/>
          <w:sz w:val="40"/>
        </w:rPr>
        <w:t xml:space="preserve">а </w:t>
      </w:r>
      <w:r w:rsidR="001A42CB">
        <w:rPr>
          <w:b/>
          <w:i/>
          <w:caps/>
          <w:color w:val="4F81BD" w:themeColor="accent1"/>
          <w:sz w:val="40"/>
        </w:rPr>
        <w:t>Круглого стола</w:t>
      </w:r>
      <w:bookmarkStart w:id="0" w:name="_GoBack"/>
      <w:bookmarkEnd w:id="0"/>
    </w:p>
    <w:tbl>
      <w:tblPr>
        <w:tblStyle w:val="a4"/>
        <w:tblW w:w="14850" w:type="dxa"/>
        <w:tblBorders>
          <w:top w:val="triple" w:sz="12" w:space="0" w:color="4F81BD" w:themeColor="accent1"/>
          <w:left w:val="triple" w:sz="12" w:space="0" w:color="4F81BD" w:themeColor="accent1"/>
          <w:bottom w:val="triple" w:sz="12" w:space="0" w:color="4F81BD" w:themeColor="accent1"/>
          <w:right w:val="triple" w:sz="12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shd w:val="clear" w:color="auto" w:fill="B8CCE4" w:themeFill="accent1" w:themeFillTint="66"/>
        <w:tblLook w:val="04A0"/>
      </w:tblPr>
      <w:tblGrid>
        <w:gridCol w:w="1526"/>
        <w:gridCol w:w="9497"/>
        <w:gridCol w:w="3827"/>
      </w:tblGrid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  <w:i/>
                <w:sz w:val="28"/>
              </w:rPr>
            </w:pPr>
            <w:r w:rsidRPr="00680120">
              <w:rPr>
                <w:b/>
                <w:i/>
                <w:sz w:val="28"/>
              </w:rPr>
              <w:t>Время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  <w:i/>
                <w:sz w:val="28"/>
              </w:rPr>
            </w:pPr>
            <w:r w:rsidRPr="00680120">
              <w:rPr>
                <w:b/>
                <w:i/>
                <w:sz w:val="28"/>
              </w:rPr>
              <w:t>Тема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  <w:i/>
                <w:sz w:val="28"/>
              </w:rPr>
            </w:pPr>
            <w:r w:rsidRPr="00680120">
              <w:rPr>
                <w:b/>
                <w:i/>
                <w:sz w:val="28"/>
              </w:rPr>
              <w:t>Докладчик</w:t>
            </w: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</w:rPr>
            </w:pPr>
            <w:r w:rsidRPr="00680120">
              <w:rPr>
                <w:b/>
              </w:rPr>
              <w:t>10.00-10.15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</w:rPr>
            </w:pPr>
            <w:r w:rsidRPr="00680120">
              <w:rPr>
                <w:b/>
              </w:rPr>
              <w:t>Вступительное слово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Pr="00592FCB" w:rsidRDefault="00275A8B" w:rsidP="00DB0D1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Медников А. А. </w:t>
            </w: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</w:rPr>
            </w:pPr>
            <w:r>
              <w:rPr>
                <w:b/>
              </w:rPr>
              <w:t>10.15-10.45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C31DCE" w:rsidRDefault="00820D75" w:rsidP="00877368">
            <w:pPr>
              <w:spacing w:after="120"/>
              <w:rPr>
                <w:b/>
              </w:rPr>
            </w:pPr>
            <w:r>
              <w:rPr>
                <w:b/>
              </w:rPr>
              <w:t>К</w:t>
            </w:r>
            <w:r w:rsidR="00C31DCE">
              <w:rPr>
                <w:b/>
              </w:rPr>
              <w:t xml:space="preserve">ритический обзор разрабатываемых и </w:t>
            </w:r>
            <w:r>
              <w:rPr>
                <w:b/>
              </w:rPr>
              <w:t xml:space="preserve">вновь </w:t>
            </w:r>
            <w:r w:rsidR="00C31DCE">
              <w:rPr>
                <w:b/>
              </w:rPr>
              <w:t xml:space="preserve">утвержденных национальных стандартов </w:t>
            </w:r>
          </w:p>
          <w:p w:rsidR="00275A8B" w:rsidRPr="00680120" w:rsidRDefault="00820D75" w:rsidP="00877368">
            <w:pPr>
              <w:spacing w:after="120"/>
              <w:rPr>
                <w:b/>
              </w:rPr>
            </w:pPr>
            <w:r>
              <w:rPr>
                <w:b/>
              </w:rPr>
              <w:t>Н</w:t>
            </w:r>
            <w:r w:rsidR="00275A8B">
              <w:rPr>
                <w:b/>
              </w:rPr>
              <w:t xml:space="preserve">юансы </w:t>
            </w:r>
            <w:r w:rsidR="00275A8B" w:rsidRPr="00680120">
              <w:rPr>
                <w:b/>
              </w:rPr>
              <w:t>применени</w:t>
            </w:r>
            <w:r w:rsidR="00C31DCE">
              <w:rPr>
                <w:b/>
              </w:rPr>
              <w:t>я</w:t>
            </w:r>
            <w:r w:rsidR="00275A8B" w:rsidRPr="00680120">
              <w:rPr>
                <w:b/>
              </w:rPr>
              <w:t xml:space="preserve"> </w:t>
            </w:r>
            <w:r>
              <w:rPr>
                <w:b/>
              </w:rPr>
              <w:t xml:space="preserve">вновь утвержденных </w:t>
            </w:r>
            <w:r w:rsidR="00C31DCE">
              <w:rPr>
                <w:b/>
              </w:rPr>
              <w:t>национальных</w:t>
            </w:r>
            <w:r w:rsidR="00275A8B" w:rsidRPr="00680120">
              <w:rPr>
                <w:b/>
              </w:rPr>
              <w:t xml:space="preserve"> стандартов, в том числе не вступивших в силу</w:t>
            </w:r>
          </w:p>
          <w:p w:rsidR="00275A8B" w:rsidRPr="00680120" w:rsidRDefault="00820D75" w:rsidP="003E3836">
            <w:pPr>
              <w:spacing w:after="120"/>
              <w:rPr>
                <w:b/>
              </w:rPr>
            </w:pPr>
            <w:r>
              <w:rPr>
                <w:b/>
              </w:rPr>
              <w:t>П</w:t>
            </w:r>
            <w:r w:rsidR="00C31DCE">
              <w:rPr>
                <w:b/>
              </w:rPr>
              <w:t xml:space="preserve">рактика </w:t>
            </w:r>
            <w:r w:rsidR="00275A8B">
              <w:rPr>
                <w:b/>
              </w:rPr>
              <w:t>применени</w:t>
            </w:r>
            <w:r w:rsidR="00C31DCE">
              <w:rPr>
                <w:b/>
              </w:rPr>
              <w:t>я</w:t>
            </w:r>
            <w:r w:rsidR="00275A8B">
              <w:rPr>
                <w:b/>
              </w:rPr>
              <w:t xml:space="preserve"> </w:t>
            </w:r>
            <w:r w:rsidR="00C31DCE">
              <w:rPr>
                <w:b/>
              </w:rPr>
              <w:t xml:space="preserve">национальных </w:t>
            </w:r>
            <w:r w:rsidR="00F84D38">
              <w:rPr>
                <w:b/>
              </w:rPr>
              <w:t xml:space="preserve">стандартов для обеспечения </w:t>
            </w:r>
            <w:r w:rsidR="00C31DCE">
              <w:rPr>
                <w:b/>
              </w:rPr>
              <w:t xml:space="preserve">выполнения требований </w:t>
            </w:r>
            <w:r>
              <w:rPr>
                <w:b/>
              </w:rPr>
              <w:t>технических регламентов С</w:t>
            </w:r>
            <w:r w:rsidR="00F84D38">
              <w:rPr>
                <w:b/>
              </w:rPr>
              <w:t>оюза</w:t>
            </w:r>
            <w:r w:rsidR="003E3836">
              <w:rPr>
                <w:b/>
              </w:rPr>
              <w:t>, риски при применении отмененных стандартов на территории РФ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Pr="00680120" w:rsidRDefault="00275A8B" w:rsidP="001344FA">
            <w:pPr>
              <w:spacing w:after="120"/>
              <w:rPr>
                <w:b/>
              </w:rPr>
            </w:pPr>
            <w:r w:rsidRPr="00680120">
              <w:rPr>
                <w:b/>
              </w:rPr>
              <w:t>Мощенская Н.В.</w:t>
            </w:r>
          </w:p>
          <w:p w:rsidR="00C31DCE" w:rsidRDefault="00C31DCE" w:rsidP="001344FA">
            <w:pPr>
              <w:spacing w:after="120"/>
              <w:rPr>
                <w:b/>
              </w:rPr>
            </w:pPr>
            <w:r>
              <w:rPr>
                <w:b/>
              </w:rPr>
              <w:t>Мезенцева О. В. (</w:t>
            </w:r>
            <w:r w:rsidRPr="00275A8B">
              <w:rPr>
                <w:b/>
              </w:rPr>
              <w:t>заместитель начальника Управления технического регулирования и стандартизации)</w:t>
            </w:r>
          </w:p>
          <w:p w:rsidR="00275A8B" w:rsidRPr="00680120" w:rsidRDefault="00275A8B" w:rsidP="00C31DCE">
            <w:pPr>
              <w:spacing w:after="120"/>
              <w:rPr>
                <w:b/>
              </w:rPr>
            </w:pPr>
            <w:r w:rsidRPr="00680120">
              <w:rPr>
                <w:b/>
              </w:rPr>
              <w:t>Щербинина В.Я.</w:t>
            </w: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F8409A" w:rsidP="00DB0D15">
            <w:pPr>
              <w:spacing w:after="120"/>
              <w:rPr>
                <w:b/>
              </w:rPr>
            </w:pPr>
            <w:r>
              <w:rPr>
                <w:b/>
              </w:rPr>
              <w:t>10.45-11.00</w:t>
            </w:r>
          </w:p>
          <w:p w:rsidR="00275A8B" w:rsidRPr="00680120" w:rsidRDefault="00275A8B" w:rsidP="00DB0D15">
            <w:pPr>
              <w:spacing w:after="120"/>
              <w:rPr>
                <w:b/>
              </w:rPr>
            </w:pPr>
          </w:p>
        </w:tc>
        <w:tc>
          <w:tcPr>
            <w:tcW w:w="9497" w:type="dxa"/>
            <w:shd w:val="clear" w:color="auto" w:fill="B8CCE4" w:themeFill="accent1" w:themeFillTint="66"/>
          </w:tcPr>
          <w:p w:rsidR="00275A8B" w:rsidRPr="00680120" w:rsidRDefault="00820D75" w:rsidP="00275A8B">
            <w:pPr>
              <w:spacing w:after="120"/>
              <w:rPr>
                <w:b/>
              </w:rPr>
            </w:pPr>
            <w:r>
              <w:rPr>
                <w:b/>
              </w:rPr>
              <w:t>Т</w:t>
            </w:r>
            <w:r w:rsidR="00C31DCE">
              <w:rPr>
                <w:b/>
              </w:rPr>
              <w:t xml:space="preserve">ребования и </w:t>
            </w:r>
            <w:r w:rsidR="00275A8B" w:rsidRPr="00680120">
              <w:rPr>
                <w:b/>
              </w:rPr>
              <w:t>типовые ошибки</w:t>
            </w:r>
            <w:r w:rsidR="00C31DCE">
              <w:rPr>
                <w:b/>
              </w:rPr>
              <w:t xml:space="preserve"> при разработке маркировки пищевой продукции (судебные прецеденты)</w:t>
            </w:r>
          </w:p>
          <w:p w:rsidR="00275A8B" w:rsidRPr="00680120" w:rsidRDefault="00820D75" w:rsidP="00C31DCE">
            <w:pPr>
              <w:spacing w:after="120"/>
              <w:rPr>
                <w:b/>
              </w:rPr>
            </w:pPr>
            <w:r>
              <w:rPr>
                <w:b/>
              </w:rPr>
              <w:t>И</w:t>
            </w:r>
            <w:r w:rsidR="00275A8B" w:rsidRPr="00680120">
              <w:rPr>
                <w:b/>
              </w:rPr>
              <w:t xml:space="preserve">дентификация импортной продукции по </w:t>
            </w:r>
            <w:r w:rsidR="00C31DCE">
              <w:rPr>
                <w:b/>
              </w:rPr>
              <w:t>национальным стандартам РФ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</w:rPr>
            </w:pPr>
            <w:r w:rsidRPr="00680120">
              <w:rPr>
                <w:b/>
              </w:rPr>
              <w:t>Щербинина В.Я.</w:t>
            </w:r>
          </w:p>
          <w:p w:rsidR="00275A8B" w:rsidRPr="00680120" w:rsidRDefault="00080138" w:rsidP="00DB0D15">
            <w:pPr>
              <w:spacing w:after="120"/>
              <w:rPr>
                <w:b/>
              </w:rPr>
            </w:pPr>
            <w:r>
              <w:rPr>
                <w:b/>
              </w:rPr>
              <w:t>Чуланова А.П</w:t>
            </w:r>
            <w:r w:rsidR="00275A8B" w:rsidRPr="00680120">
              <w:rPr>
                <w:b/>
              </w:rPr>
              <w:t>.</w:t>
            </w: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275A8B" w:rsidP="00F8409A">
            <w:pPr>
              <w:spacing w:after="120"/>
              <w:rPr>
                <w:b/>
              </w:rPr>
            </w:pPr>
            <w:r w:rsidRPr="00680120">
              <w:rPr>
                <w:b/>
              </w:rPr>
              <w:t>11.0</w:t>
            </w:r>
            <w:r w:rsidR="00F8409A">
              <w:rPr>
                <w:b/>
              </w:rPr>
              <w:t>0</w:t>
            </w:r>
            <w:r w:rsidRPr="00680120">
              <w:rPr>
                <w:b/>
              </w:rPr>
              <w:t>-11.30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275A8B" w:rsidRPr="00E16957" w:rsidRDefault="00820D75" w:rsidP="00820D7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Требуется ли </w:t>
            </w:r>
            <w:r w:rsidR="00F8409A">
              <w:rPr>
                <w:b/>
              </w:rPr>
              <w:t xml:space="preserve">обязательное </w:t>
            </w:r>
            <w:r>
              <w:rPr>
                <w:b/>
              </w:rPr>
              <w:t>в</w:t>
            </w:r>
            <w:r w:rsidR="00F8409A">
              <w:rPr>
                <w:b/>
              </w:rPr>
              <w:t>недрение ХАССП на производстве</w:t>
            </w:r>
            <w:r w:rsidR="00E16957">
              <w:rPr>
                <w:b/>
              </w:rPr>
              <w:t>?</w:t>
            </w:r>
          </w:p>
          <w:p w:rsidR="00820D75" w:rsidRPr="00680120" w:rsidRDefault="00820D75" w:rsidP="00820D75">
            <w:pPr>
              <w:spacing w:after="120"/>
              <w:rPr>
                <w:b/>
              </w:rPr>
            </w:pPr>
            <w:r>
              <w:rPr>
                <w:b/>
              </w:rPr>
              <w:t>Как составить план производственного конт</w:t>
            </w:r>
            <w:r w:rsidR="003E3836">
              <w:rPr>
                <w:b/>
              </w:rPr>
              <w:t>роля, удовлетворяющий требованиям</w:t>
            </w:r>
            <w:r>
              <w:rPr>
                <w:b/>
              </w:rPr>
              <w:t xml:space="preserve"> технических регламентов Союза и Роспотребнадзора?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Default="00F84D38" w:rsidP="00DB0D15">
            <w:pPr>
              <w:spacing w:after="120"/>
              <w:rPr>
                <w:b/>
              </w:rPr>
            </w:pPr>
            <w:r w:rsidRPr="00680120">
              <w:rPr>
                <w:b/>
              </w:rPr>
              <w:t>Егоров Ю.В.</w:t>
            </w:r>
          </w:p>
          <w:p w:rsidR="00F84D38" w:rsidRPr="00680120" w:rsidRDefault="00F84D38" w:rsidP="00DB0D15">
            <w:pPr>
              <w:spacing w:after="120"/>
              <w:rPr>
                <w:b/>
              </w:rPr>
            </w:pP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F84D38" w:rsidP="00F84D38">
            <w:pPr>
              <w:spacing w:after="120"/>
              <w:rPr>
                <w:b/>
              </w:rPr>
            </w:pPr>
            <w:r>
              <w:rPr>
                <w:b/>
              </w:rPr>
              <w:t>11.30-11</w:t>
            </w:r>
            <w:r w:rsidR="00153B22">
              <w:rPr>
                <w:b/>
              </w:rPr>
              <w:t>.</w:t>
            </w:r>
            <w:r w:rsidR="00F8409A">
              <w:rPr>
                <w:b/>
              </w:rPr>
              <w:t>45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C1435C" w:rsidRDefault="00C1435C" w:rsidP="00275A8B">
            <w:pPr>
              <w:spacing w:after="120"/>
              <w:rPr>
                <w:b/>
              </w:rPr>
            </w:pPr>
            <w:r>
              <w:rPr>
                <w:b/>
              </w:rPr>
              <w:t>П</w:t>
            </w:r>
            <w:r w:rsidR="00D61643">
              <w:rPr>
                <w:b/>
              </w:rPr>
              <w:t>р</w:t>
            </w:r>
            <w:r>
              <w:rPr>
                <w:b/>
              </w:rPr>
              <w:t>оект изменений в КОАП</w:t>
            </w:r>
            <w:r w:rsidR="00820D75">
              <w:rPr>
                <w:b/>
              </w:rPr>
              <w:t>:</w:t>
            </w:r>
          </w:p>
          <w:p w:rsidR="00C1435C" w:rsidRDefault="00820D75" w:rsidP="00820D75">
            <w:pPr>
              <w:spacing w:after="120"/>
              <w:rPr>
                <w:b/>
              </w:rPr>
            </w:pPr>
            <w:r>
              <w:rPr>
                <w:b/>
              </w:rPr>
              <w:t>Ч</w:t>
            </w:r>
            <w:r w:rsidR="00FB15AA">
              <w:rPr>
                <w:b/>
              </w:rPr>
              <w:t xml:space="preserve">то такое </w:t>
            </w:r>
            <w:r w:rsidR="00C1435C">
              <w:rPr>
                <w:b/>
              </w:rPr>
              <w:t>недостоверное декларирование</w:t>
            </w:r>
            <w:r w:rsidR="00FB15AA">
              <w:rPr>
                <w:b/>
              </w:rPr>
              <w:t>?</w:t>
            </w:r>
          </w:p>
          <w:p w:rsidR="00820D75" w:rsidRPr="00680120" w:rsidRDefault="00820D75" w:rsidP="00820D75">
            <w:pPr>
              <w:spacing w:after="120"/>
              <w:rPr>
                <w:b/>
              </w:rPr>
            </w:pPr>
            <w:r>
              <w:rPr>
                <w:b/>
              </w:rPr>
              <w:t>Разделение ответственности за декларирование и производство продукции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Pr="00680120" w:rsidRDefault="00153B22" w:rsidP="001344FA">
            <w:pPr>
              <w:spacing w:after="120"/>
              <w:rPr>
                <w:b/>
              </w:rPr>
            </w:pPr>
            <w:r>
              <w:rPr>
                <w:b/>
              </w:rPr>
              <w:t>Мощенская Н. В.</w:t>
            </w: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F8409A" w:rsidP="00F8409A">
            <w:pPr>
              <w:spacing w:after="120"/>
              <w:rPr>
                <w:b/>
              </w:rPr>
            </w:pPr>
            <w:r>
              <w:rPr>
                <w:b/>
              </w:rPr>
              <w:t>11.45</w:t>
            </w:r>
            <w:r w:rsidR="00275A8B" w:rsidRPr="00680120">
              <w:rPr>
                <w:b/>
              </w:rPr>
              <w:t>-12.</w:t>
            </w:r>
            <w:r>
              <w:rPr>
                <w:b/>
              </w:rPr>
              <w:t>00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275A8B" w:rsidRPr="00680120" w:rsidRDefault="00153B22" w:rsidP="00FB15AA">
            <w:pPr>
              <w:spacing w:after="120"/>
              <w:rPr>
                <w:b/>
              </w:rPr>
            </w:pPr>
            <w:r>
              <w:rPr>
                <w:b/>
              </w:rPr>
              <w:t>Обоснование сроков годности продукции</w:t>
            </w:r>
            <w:r w:rsidR="00FB15AA">
              <w:rPr>
                <w:b/>
              </w:rPr>
              <w:t>:</w:t>
            </w:r>
            <w:r>
              <w:rPr>
                <w:b/>
              </w:rPr>
              <w:t xml:space="preserve"> методики, косвенные методы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Pr="00680120" w:rsidRDefault="00153B22" w:rsidP="0068012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Ершова Н. А. </w:t>
            </w: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F8409A" w:rsidP="00DB0D15">
            <w:pPr>
              <w:spacing w:after="120"/>
              <w:rPr>
                <w:b/>
              </w:rPr>
            </w:pPr>
            <w:r>
              <w:rPr>
                <w:b/>
              </w:rPr>
              <w:t>12.00-12.3</w:t>
            </w:r>
            <w:r w:rsidR="00275A8B" w:rsidRPr="00680120">
              <w:rPr>
                <w:b/>
              </w:rPr>
              <w:t>0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</w:rPr>
            </w:pPr>
            <w:r w:rsidRPr="00680120">
              <w:rPr>
                <w:b/>
              </w:rPr>
              <w:t>Кофе-пауза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Pr="00680120" w:rsidRDefault="00275A8B" w:rsidP="00DB0D15">
            <w:pPr>
              <w:spacing w:after="120"/>
              <w:rPr>
                <w:b/>
              </w:rPr>
            </w:pPr>
          </w:p>
        </w:tc>
      </w:tr>
      <w:tr w:rsidR="00275A8B" w:rsidTr="00FB15AA">
        <w:tc>
          <w:tcPr>
            <w:tcW w:w="1526" w:type="dxa"/>
            <w:shd w:val="clear" w:color="auto" w:fill="B8CCE4" w:themeFill="accent1" w:themeFillTint="66"/>
          </w:tcPr>
          <w:p w:rsidR="00275A8B" w:rsidRPr="00680120" w:rsidRDefault="00153B22" w:rsidP="00F8409A">
            <w:pPr>
              <w:spacing w:after="120"/>
              <w:rPr>
                <w:b/>
              </w:rPr>
            </w:pPr>
            <w:r>
              <w:rPr>
                <w:b/>
              </w:rPr>
              <w:t>12.30-1</w:t>
            </w:r>
            <w:r w:rsidR="00F8409A">
              <w:rPr>
                <w:b/>
              </w:rPr>
              <w:t>2</w:t>
            </w:r>
            <w:r w:rsidR="00275A8B" w:rsidRPr="00680120">
              <w:rPr>
                <w:b/>
              </w:rPr>
              <w:t>.</w:t>
            </w:r>
            <w:r w:rsidR="00F8409A">
              <w:rPr>
                <w:b/>
              </w:rPr>
              <w:t>5</w:t>
            </w:r>
            <w:r w:rsidR="00275A8B" w:rsidRPr="00680120">
              <w:rPr>
                <w:b/>
              </w:rPr>
              <w:t>0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153B22" w:rsidRPr="00680120" w:rsidRDefault="00153B22" w:rsidP="00FB15AA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Особенности выявления фальсификата </w:t>
            </w:r>
            <w:r w:rsidR="00FB15AA">
              <w:rPr>
                <w:b/>
              </w:rPr>
              <w:t>отдельных</w:t>
            </w:r>
            <w:r>
              <w:rPr>
                <w:b/>
              </w:rPr>
              <w:t xml:space="preserve"> групп пищевой продукции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275A8B" w:rsidRDefault="00153B22" w:rsidP="00DB0D15">
            <w:pPr>
              <w:spacing w:after="120"/>
              <w:rPr>
                <w:b/>
              </w:rPr>
            </w:pPr>
            <w:r>
              <w:rPr>
                <w:b/>
              </w:rPr>
              <w:t>Воробьева Л. И.</w:t>
            </w:r>
          </w:p>
          <w:p w:rsidR="00153B22" w:rsidRDefault="00153B22" w:rsidP="00DB0D15">
            <w:pPr>
              <w:spacing w:after="120"/>
              <w:rPr>
                <w:b/>
              </w:rPr>
            </w:pPr>
            <w:r>
              <w:rPr>
                <w:b/>
              </w:rPr>
              <w:t>Чуланова А. П.</w:t>
            </w:r>
          </w:p>
          <w:p w:rsidR="00275A8B" w:rsidRPr="00680120" w:rsidRDefault="00153B22" w:rsidP="00FB15AA">
            <w:pPr>
              <w:spacing w:after="120"/>
              <w:rPr>
                <w:b/>
              </w:rPr>
            </w:pPr>
            <w:r>
              <w:rPr>
                <w:b/>
              </w:rPr>
              <w:t>Ершова Н. А.</w:t>
            </w:r>
          </w:p>
        </w:tc>
      </w:tr>
      <w:tr w:rsidR="00786E76" w:rsidTr="00FB15AA">
        <w:tc>
          <w:tcPr>
            <w:tcW w:w="1526" w:type="dxa"/>
            <w:shd w:val="clear" w:color="auto" w:fill="B8CCE4" w:themeFill="accent1" w:themeFillTint="66"/>
          </w:tcPr>
          <w:p w:rsidR="00786E76" w:rsidRDefault="00F8409A" w:rsidP="00153B22">
            <w:pPr>
              <w:spacing w:after="120"/>
              <w:rPr>
                <w:b/>
              </w:rPr>
            </w:pPr>
            <w:r>
              <w:rPr>
                <w:b/>
              </w:rPr>
              <w:t>12.50-13.35</w:t>
            </w:r>
          </w:p>
        </w:tc>
        <w:tc>
          <w:tcPr>
            <w:tcW w:w="9497" w:type="dxa"/>
            <w:shd w:val="clear" w:color="auto" w:fill="B8CCE4" w:themeFill="accent1" w:themeFillTint="66"/>
          </w:tcPr>
          <w:p w:rsidR="00786E76" w:rsidRDefault="00786E76" w:rsidP="00F8409A">
            <w:pPr>
              <w:spacing w:after="120"/>
              <w:rPr>
                <w:b/>
              </w:rPr>
            </w:pPr>
            <w:r>
              <w:rPr>
                <w:b/>
              </w:rPr>
              <w:t>Обзор и ответы на вопросы по применению технических регламентов</w:t>
            </w:r>
            <w:r w:rsidR="00F8409A">
              <w:rPr>
                <w:b/>
              </w:rPr>
              <w:t xml:space="preserve"> Союза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:rsidR="00786E76" w:rsidRDefault="00AD4152" w:rsidP="00DB0D15">
            <w:pPr>
              <w:spacing w:after="120"/>
              <w:rPr>
                <w:b/>
              </w:rPr>
            </w:pPr>
            <w:r>
              <w:rPr>
                <w:b/>
              </w:rPr>
              <w:t>Щербинина В. Я.</w:t>
            </w:r>
          </w:p>
          <w:p w:rsidR="00AD4152" w:rsidRDefault="00AD4152" w:rsidP="00820D7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Мощенская Н. В. </w:t>
            </w:r>
          </w:p>
        </w:tc>
      </w:tr>
    </w:tbl>
    <w:p w:rsidR="00D73DA9" w:rsidRDefault="00D73DA9"/>
    <w:sectPr w:rsidR="00D73DA9" w:rsidSect="00680120">
      <w:pgSz w:w="16838" w:h="11906" w:orient="landscape"/>
      <w:pgMar w:top="426" w:right="1134" w:bottom="284" w:left="1134" w:header="708" w:footer="708" w:gutter="0"/>
      <w:pgBorders w:offsetFrom="page">
        <w:top w:val="single" w:sz="6" w:space="24" w:color="4F81BD" w:themeColor="accent1"/>
        <w:left w:val="single" w:sz="6" w:space="24" w:color="4F81BD" w:themeColor="accent1"/>
        <w:bottom w:val="single" w:sz="6" w:space="24" w:color="4F81BD" w:themeColor="accent1"/>
        <w:right w:val="single" w:sz="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3DF3"/>
    <w:multiLevelType w:val="hybridMultilevel"/>
    <w:tmpl w:val="7A5EE33C"/>
    <w:lvl w:ilvl="0" w:tplc="2BC48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D15"/>
    <w:rsid w:val="00080138"/>
    <w:rsid w:val="00123B37"/>
    <w:rsid w:val="00153B22"/>
    <w:rsid w:val="001A42CB"/>
    <w:rsid w:val="00275A8B"/>
    <w:rsid w:val="00303388"/>
    <w:rsid w:val="003E3836"/>
    <w:rsid w:val="00592FCB"/>
    <w:rsid w:val="005A033D"/>
    <w:rsid w:val="0060114E"/>
    <w:rsid w:val="00680120"/>
    <w:rsid w:val="006E34D2"/>
    <w:rsid w:val="00786E76"/>
    <w:rsid w:val="00820D75"/>
    <w:rsid w:val="008757F2"/>
    <w:rsid w:val="00877368"/>
    <w:rsid w:val="008B4A80"/>
    <w:rsid w:val="00AD4152"/>
    <w:rsid w:val="00B509DA"/>
    <w:rsid w:val="00C1435C"/>
    <w:rsid w:val="00C31DCE"/>
    <w:rsid w:val="00CD068E"/>
    <w:rsid w:val="00D34EAE"/>
    <w:rsid w:val="00D37927"/>
    <w:rsid w:val="00D61643"/>
    <w:rsid w:val="00D6769B"/>
    <w:rsid w:val="00D73DA9"/>
    <w:rsid w:val="00DB0D15"/>
    <w:rsid w:val="00E16957"/>
    <w:rsid w:val="00F811C5"/>
    <w:rsid w:val="00F8409A"/>
    <w:rsid w:val="00F84D38"/>
    <w:rsid w:val="00FB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1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B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Кофиади Анна Сергеевна</dc:creator>
  <cp:keywords/>
  <dc:description/>
  <cp:lastModifiedBy>Свиридова Анна Андреевна</cp:lastModifiedBy>
  <cp:revision>15</cp:revision>
  <cp:lastPrinted>2016-04-27T07:35:00Z</cp:lastPrinted>
  <dcterms:created xsi:type="dcterms:W3CDTF">2016-04-27T06:44:00Z</dcterms:created>
  <dcterms:modified xsi:type="dcterms:W3CDTF">2016-05-18T18:30:00Z</dcterms:modified>
</cp:coreProperties>
</file>